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6EDA4" w14:textId="77777777" w:rsidR="00207868" w:rsidRDefault="00207868" w:rsidP="00207868">
      <w:pPr>
        <w:spacing w:line="240" w:lineRule="auto"/>
        <w:jc w:val="center"/>
        <w:rPr>
          <w:b/>
          <w:bCs/>
          <w:sz w:val="23"/>
          <w:szCs w:val="23"/>
          <w:u w:val="single"/>
        </w:rPr>
      </w:pPr>
      <w:r>
        <w:rPr>
          <w:rFonts w:cstheme="minorHAnsi"/>
          <w:noProof/>
          <w:kern w:val="0"/>
          <w:sz w:val="21"/>
          <w:szCs w:val="21"/>
          <w14:ligatures w14:val="none"/>
        </w:rPr>
        <w:drawing>
          <wp:anchor distT="0" distB="0" distL="114300" distR="114300" simplePos="0" relativeHeight="251662336" behindDoc="0" locked="0" layoutInCell="1" allowOverlap="1" wp14:anchorId="3F8C15F1" wp14:editId="7C328714">
            <wp:simplePos x="0" y="0"/>
            <wp:positionH relativeFrom="margin">
              <wp:posOffset>3124200</wp:posOffset>
            </wp:positionH>
            <wp:positionV relativeFrom="margin">
              <wp:posOffset>-705485</wp:posOffset>
            </wp:positionV>
            <wp:extent cx="1628775" cy="1114425"/>
            <wp:effectExtent l="0" t="0" r="9525" b="9525"/>
            <wp:wrapSquare wrapText="bothSides"/>
            <wp:docPr id="129824373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43730" name="Picture 1" descr="A logo for a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b/>
          <w:bCs/>
          <w:noProof/>
          <w:color w:val="FF0000"/>
          <w:sz w:val="24"/>
          <w:szCs w:val="24"/>
          <w:lang w:eastAsia="en-GB"/>
        </w:rPr>
        <w:drawing>
          <wp:anchor distT="0" distB="0" distL="114300" distR="114300" simplePos="0" relativeHeight="251661312" behindDoc="0" locked="0" layoutInCell="1" allowOverlap="1" wp14:anchorId="397503E0" wp14:editId="59227AB8">
            <wp:simplePos x="0" y="0"/>
            <wp:positionH relativeFrom="margin">
              <wp:posOffset>1619250</wp:posOffset>
            </wp:positionH>
            <wp:positionV relativeFrom="page">
              <wp:posOffset>123825</wp:posOffset>
            </wp:positionV>
            <wp:extent cx="1095375" cy="1200150"/>
            <wp:effectExtent l="0" t="0" r="9525" b="0"/>
            <wp:wrapSquare wrapText="bothSides"/>
            <wp:docPr id="1" name="Picture 1" descr="A logo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numb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95375" cy="1200150"/>
                    </a:xfrm>
                    <a:prstGeom prst="rect">
                      <a:avLst/>
                    </a:prstGeom>
                  </pic:spPr>
                </pic:pic>
              </a:graphicData>
            </a:graphic>
            <wp14:sizeRelH relativeFrom="margin">
              <wp14:pctWidth>0</wp14:pctWidth>
            </wp14:sizeRelH>
            <wp14:sizeRelV relativeFrom="margin">
              <wp14:pctHeight>0</wp14:pctHeight>
            </wp14:sizeRelV>
          </wp:anchor>
        </w:drawing>
      </w:r>
    </w:p>
    <w:p w14:paraId="0F4775F0" w14:textId="77777777" w:rsidR="00207868" w:rsidRDefault="00207868" w:rsidP="00207868">
      <w:pPr>
        <w:spacing w:line="240" w:lineRule="auto"/>
        <w:jc w:val="center"/>
        <w:rPr>
          <w:b/>
          <w:bCs/>
          <w:sz w:val="23"/>
          <w:szCs w:val="23"/>
          <w:u w:val="single"/>
        </w:rPr>
      </w:pPr>
    </w:p>
    <w:p w14:paraId="438424FF" w14:textId="77777777" w:rsidR="00207868" w:rsidRPr="00AE308D" w:rsidRDefault="00207868" w:rsidP="00207868">
      <w:pPr>
        <w:pStyle w:val="NoSpacing"/>
        <w:rPr>
          <w:b/>
          <w:bCs/>
          <w:color w:val="FF0000"/>
        </w:rPr>
      </w:pPr>
      <w:r w:rsidRPr="00AE308D">
        <w:rPr>
          <w:b/>
          <w:bCs/>
          <w:color w:val="FF0000"/>
        </w:rPr>
        <w:t>FOR IMMEDIATE RELEASE</w:t>
      </w:r>
    </w:p>
    <w:p w14:paraId="53FB50EF" w14:textId="21781A18" w:rsidR="00207868" w:rsidRPr="00777D14" w:rsidRDefault="00207868">
      <w:pPr>
        <w:rPr>
          <w:b/>
          <w:bCs/>
        </w:rPr>
      </w:pPr>
      <w:r w:rsidRPr="00777D14">
        <w:rPr>
          <w:b/>
          <w:bCs/>
        </w:rPr>
        <w:t>1</w:t>
      </w:r>
      <w:r w:rsidR="00491D1C">
        <w:rPr>
          <w:b/>
          <w:bCs/>
        </w:rPr>
        <w:t>6</w:t>
      </w:r>
      <w:r w:rsidRPr="00777D14">
        <w:rPr>
          <w:b/>
          <w:bCs/>
          <w:vertAlign w:val="superscript"/>
        </w:rPr>
        <w:t>th</w:t>
      </w:r>
      <w:r w:rsidRPr="00777D14">
        <w:rPr>
          <w:b/>
          <w:bCs/>
        </w:rPr>
        <w:t xml:space="preserve"> December 2024</w:t>
      </w:r>
    </w:p>
    <w:p w14:paraId="0F7C8462" w14:textId="2BF0AB85" w:rsidR="00B426D4" w:rsidRPr="00F85672" w:rsidRDefault="00F85672" w:rsidP="00207868">
      <w:pPr>
        <w:jc w:val="center"/>
        <w:rPr>
          <w:b/>
          <w:bCs/>
          <w:u w:val="single"/>
        </w:rPr>
      </w:pPr>
      <w:proofErr w:type="spellStart"/>
      <w:r>
        <w:rPr>
          <w:b/>
          <w:bCs/>
          <w:u w:val="single"/>
        </w:rPr>
        <w:t>BiGGAR</w:t>
      </w:r>
      <w:proofErr w:type="spellEnd"/>
      <w:r>
        <w:rPr>
          <w:b/>
          <w:bCs/>
          <w:u w:val="single"/>
        </w:rPr>
        <w:t xml:space="preserve"> Economics report shows </w:t>
      </w:r>
      <w:r w:rsidR="003A7FA9">
        <w:rPr>
          <w:b/>
          <w:bCs/>
          <w:u w:val="single"/>
        </w:rPr>
        <w:t xml:space="preserve">Moray </w:t>
      </w:r>
      <w:r w:rsidRPr="00F85672">
        <w:rPr>
          <w:b/>
          <w:bCs/>
          <w:u w:val="single"/>
        </w:rPr>
        <w:t>short term lets boost economy by £</w:t>
      </w:r>
      <w:r w:rsidR="003A7FA9">
        <w:rPr>
          <w:b/>
          <w:bCs/>
          <w:u w:val="single"/>
        </w:rPr>
        <w:t>1</w:t>
      </w:r>
      <w:r w:rsidRPr="00F85672">
        <w:rPr>
          <w:b/>
          <w:bCs/>
          <w:u w:val="single"/>
        </w:rPr>
        <w:t>0m with no evidence of housing impact</w:t>
      </w:r>
    </w:p>
    <w:p w14:paraId="3647B60B" w14:textId="77777777" w:rsidR="00F85672" w:rsidRPr="00AE308D" w:rsidRDefault="00F85672" w:rsidP="00F85672">
      <w:pPr>
        <w:spacing w:line="240" w:lineRule="auto"/>
        <w:jc w:val="center"/>
        <w:rPr>
          <w:b/>
          <w:bCs/>
        </w:rPr>
      </w:pPr>
      <w:proofErr w:type="spellStart"/>
      <w:r w:rsidRPr="00AE308D">
        <w:rPr>
          <w:b/>
          <w:bCs/>
        </w:rPr>
        <w:t>BiGGAR</w:t>
      </w:r>
      <w:proofErr w:type="spellEnd"/>
      <w:r w:rsidRPr="00AE308D">
        <w:rPr>
          <w:b/>
          <w:bCs/>
        </w:rPr>
        <w:t xml:space="preserve"> Economics</w:t>
      </w:r>
      <w:r>
        <w:rPr>
          <w:b/>
          <w:bCs/>
        </w:rPr>
        <w:t xml:space="preserve"> </w:t>
      </w:r>
      <w:r w:rsidRPr="00AE308D">
        <w:rPr>
          <w:b/>
          <w:bCs/>
        </w:rPr>
        <w:t>challenge</w:t>
      </w:r>
      <w:r>
        <w:rPr>
          <w:b/>
          <w:bCs/>
        </w:rPr>
        <w:t xml:space="preserve">s false narratives surrounding Scotland’s self-catering sector now </w:t>
      </w:r>
      <w:r w:rsidRPr="00AE308D">
        <w:rPr>
          <w:b/>
          <w:bCs/>
        </w:rPr>
        <w:t>at risk from heavy-handed government regulation.</w:t>
      </w:r>
    </w:p>
    <w:p w14:paraId="617128D7" w14:textId="4D38B392" w:rsidR="00207868" w:rsidRDefault="00207868" w:rsidP="00207868">
      <w:pPr>
        <w:spacing w:line="240" w:lineRule="auto"/>
        <w:rPr>
          <w:sz w:val="21"/>
          <w:szCs w:val="21"/>
        </w:rPr>
      </w:pPr>
      <w:r w:rsidRPr="00AF16CC">
        <w:rPr>
          <w:sz w:val="21"/>
          <w:szCs w:val="21"/>
        </w:rPr>
        <w:t xml:space="preserve">A new independent analysis from a respected </w:t>
      </w:r>
      <w:r>
        <w:rPr>
          <w:sz w:val="21"/>
          <w:szCs w:val="21"/>
        </w:rPr>
        <w:t>Scottish consultancy</w:t>
      </w:r>
      <w:r w:rsidRPr="00AF16CC">
        <w:rPr>
          <w:sz w:val="21"/>
          <w:szCs w:val="21"/>
        </w:rPr>
        <w:t xml:space="preserve"> </w:t>
      </w:r>
      <w:r>
        <w:rPr>
          <w:sz w:val="21"/>
          <w:szCs w:val="21"/>
        </w:rPr>
        <w:t>reveals</w:t>
      </w:r>
      <w:r w:rsidRPr="00AF16CC">
        <w:rPr>
          <w:sz w:val="21"/>
          <w:szCs w:val="21"/>
        </w:rPr>
        <w:t xml:space="preserve"> the substantial </w:t>
      </w:r>
      <w:r>
        <w:rPr>
          <w:sz w:val="21"/>
          <w:szCs w:val="21"/>
        </w:rPr>
        <w:t xml:space="preserve">positive </w:t>
      </w:r>
      <w:r w:rsidRPr="00AF16CC">
        <w:rPr>
          <w:sz w:val="21"/>
          <w:szCs w:val="21"/>
        </w:rPr>
        <w:t xml:space="preserve">economic impact of Scotland’s </w:t>
      </w:r>
      <w:r>
        <w:rPr>
          <w:sz w:val="21"/>
          <w:szCs w:val="21"/>
        </w:rPr>
        <w:t xml:space="preserve">self-catering </w:t>
      </w:r>
      <w:r w:rsidRPr="00AF16CC">
        <w:rPr>
          <w:sz w:val="21"/>
          <w:szCs w:val="21"/>
        </w:rPr>
        <w:t xml:space="preserve">industry which </w:t>
      </w:r>
      <w:r>
        <w:rPr>
          <w:sz w:val="21"/>
          <w:szCs w:val="21"/>
        </w:rPr>
        <w:t xml:space="preserve">was also shown to have a </w:t>
      </w:r>
      <w:r w:rsidRPr="00AF16CC">
        <w:rPr>
          <w:sz w:val="21"/>
          <w:szCs w:val="21"/>
        </w:rPr>
        <w:t xml:space="preserve">negligible </w:t>
      </w:r>
      <w:r>
        <w:rPr>
          <w:sz w:val="21"/>
          <w:szCs w:val="21"/>
        </w:rPr>
        <w:t xml:space="preserve">effect on housing. </w:t>
      </w:r>
    </w:p>
    <w:p w14:paraId="017A6FBC" w14:textId="66F41101" w:rsidR="00207868" w:rsidRDefault="00207868" w:rsidP="00207868">
      <w:pPr>
        <w:spacing w:line="240" w:lineRule="auto"/>
        <w:rPr>
          <w:sz w:val="21"/>
          <w:szCs w:val="21"/>
        </w:rPr>
      </w:pPr>
      <w:proofErr w:type="spellStart"/>
      <w:r w:rsidRPr="00AF16CC">
        <w:rPr>
          <w:sz w:val="21"/>
          <w:szCs w:val="21"/>
        </w:rPr>
        <w:t>BiGGAR</w:t>
      </w:r>
      <w:proofErr w:type="spellEnd"/>
      <w:r w:rsidRPr="00AF16CC">
        <w:rPr>
          <w:sz w:val="21"/>
          <w:szCs w:val="21"/>
        </w:rPr>
        <w:t xml:space="preserve"> Economics</w:t>
      </w:r>
      <w:r>
        <w:rPr>
          <w:sz w:val="21"/>
          <w:szCs w:val="21"/>
        </w:rPr>
        <w:t xml:space="preserve"> </w:t>
      </w:r>
      <w:r w:rsidRPr="00AF16CC">
        <w:rPr>
          <w:sz w:val="21"/>
          <w:szCs w:val="21"/>
        </w:rPr>
        <w:t xml:space="preserve">calculated that short-term lets (STLs) contribute nearly £1bn </w:t>
      </w:r>
      <w:r>
        <w:rPr>
          <w:sz w:val="21"/>
          <w:szCs w:val="21"/>
        </w:rPr>
        <w:t>gross value added (GVA)</w:t>
      </w:r>
      <w:r w:rsidRPr="00AF16CC">
        <w:rPr>
          <w:sz w:val="21"/>
          <w:szCs w:val="21"/>
        </w:rPr>
        <w:t xml:space="preserve"> to the Scottish economy while supporting approximately 30,000 jobs. </w:t>
      </w:r>
      <w:r>
        <w:rPr>
          <w:sz w:val="21"/>
          <w:szCs w:val="21"/>
        </w:rPr>
        <w:t xml:space="preserve">By accommodating visitors, STLs generate economic activity across Scotland, with the local impacts exceeding residential use, supporting an additional £32,400 GVA per property. </w:t>
      </w:r>
      <w:r w:rsidRPr="00207868">
        <w:rPr>
          <w:sz w:val="21"/>
          <w:szCs w:val="21"/>
        </w:rPr>
        <w:t xml:space="preserve">The </w:t>
      </w:r>
      <w:r w:rsidR="00777D14">
        <w:rPr>
          <w:sz w:val="21"/>
          <w:szCs w:val="21"/>
        </w:rPr>
        <w:t>localised results</w:t>
      </w:r>
      <w:r w:rsidRPr="00207868">
        <w:rPr>
          <w:sz w:val="21"/>
          <w:szCs w:val="21"/>
        </w:rPr>
        <w:t xml:space="preserve"> were just as impressive. </w:t>
      </w:r>
    </w:p>
    <w:p w14:paraId="70A2F413" w14:textId="4A4774F4" w:rsidR="00F85672" w:rsidRDefault="003A7FA9" w:rsidP="00207868">
      <w:pPr>
        <w:spacing w:line="240" w:lineRule="auto"/>
        <w:rPr>
          <w:sz w:val="21"/>
          <w:szCs w:val="21"/>
        </w:rPr>
      </w:pPr>
      <w:r>
        <w:rPr>
          <w:b/>
          <w:bCs/>
          <w:sz w:val="21"/>
          <w:szCs w:val="21"/>
        </w:rPr>
        <w:t>Moray</w:t>
      </w:r>
      <w:r w:rsidR="00F85672" w:rsidRPr="00207868">
        <w:rPr>
          <w:b/>
          <w:bCs/>
          <w:sz w:val="21"/>
          <w:szCs w:val="21"/>
        </w:rPr>
        <w:t xml:space="preserve">’s short-term let sector, despite regulatory challenges, is performing well, </w:t>
      </w:r>
      <w:r>
        <w:rPr>
          <w:b/>
          <w:bCs/>
          <w:sz w:val="21"/>
          <w:szCs w:val="21"/>
        </w:rPr>
        <w:t xml:space="preserve">generating nearly </w:t>
      </w:r>
      <w:r w:rsidR="00207868" w:rsidRPr="00207868">
        <w:rPr>
          <w:b/>
          <w:bCs/>
          <w:sz w:val="21"/>
          <w:szCs w:val="21"/>
        </w:rPr>
        <w:t>£</w:t>
      </w:r>
      <w:r>
        <w:rPr>
          <w:b/>
          <w:bCs/>
          <w:sz w:val="21"/>
          <w:szCs w:val="21"/>
        </w:rPr>
        <w:t>1</w:t>
      </w:r>
      <w:r w:rsidR="00207868" w:rsidRPr="00207868">
        <w:rPr>
          <w:b/>
          <w:bCs/>
          <w:sz w:val="21"/>
          <w:szCs w:val="21"/>
        </w:rPr>
        <w:t xml:space="preserve">0m GVA per annum and supporting </w:t>
      </w:r>
      <w:r w:rsidR="00132ED0">
        <w:rPr>
          <w:b/>
          <w:bCs/>
          <w:sz w:val="21"/>
          <w:szCs w:val="21"/>
        </w:rPr>
        <w:t>314</w:t>
      </w:r>
      <w:r w:rsidR="00207868" w:rsidRPr="00207868">
        <w:rPr>
          <w:b/>
          <w:bCs/>
          <w:sz w:val="21"/>
          <w:szCs w:val="21"/>
        </w:rPr>
        <w:t xml:space="preserve"> jobs in the local area.</w:t>
      </w:r>
      <w:r w:rsidR="00207868">
        <w:rPr>
          <w:sz w:val="21"/>
          <w:szCs w:val="21"/>
        </w:rPr>
        <w:t xml:space="preserve"> </w:t>
      </w:r>
    </w:p>
    <w:p w14:paraId="21BCDC14" w14:textId="12EFB0E8" w:rsidR="00D33FB6" w:rsidRPr="00207868" w:rsidRDefault="00D33FB6" w:rsidP="00207868">
      <w:pPr>
        <w:spacing w:line="240" w:lineRule="auto"/>
        <w:rPr>
          <w:sz w:val="21"/>
          <w:szCs w:val="21"/>
        </w:rPr>
      </w:pPr>
      <w:r>
        <w:rPr>
          <w:sz w:val="21"/>
          <w:szCs w:val="21"/>
        </w:rPr>
        <w:t xml:space="preserve">This follows welcome news </w:t>
      </w:r>
      <w:r w:rsidR="00230DC6">
        <w:rPr>
          <w:sz w:val="21"/>
          <w:szCs w:val="21"/>
        </w:rPr>
        <w:t xml:space="preserve">that tourism is </w:t>
      </w:r>
      <w:hyperlink r:id="rId7" w:history="1">
        <w:r w:rsidR="00230DC6" w:rsidRPr="00A22402">
          <w:rPr>
            <w:rStyle w:val="Hyperlink"/>
            <w:sz w:val="21"/>
            <w:szCs w:val="21"/>
          </w:rPr>
          <w:t>now worth a record £187m to the local economy</w:t>
        </w:r>
      </w:hyperlink>
      <w:r w:rsidR="00230DC6">
        <w:rPr>
          <w:sz w:val="21"/>
          <w:szCs w:val="21"/>
        </w:rPr>
        <w:t xml:space="preserve"> </w:t>
      </w:r>
      <w:r w:rsidR="0011369A">
        <w:rPr>
          <w:sz w:val="21"/>
          <w:szCs w:val="21"/>
        </w:rPr>
        <w:t xml:space="preserve">after a 25% increase in visits between 2022 and 2023. </w:t>
      </w:r>
    </w:p>
    <w:p w14:paraId="0CC4F08B" w14:textId="11BC4A85" w:rsidR="00F85672" w:rsidRPr="00AF16CC" w:rsidRDefault="00F85672" w:rsidP="00F85672">
      <w:pPr>
        <w:spacing w:line="240" w:lineRule="auto"/>
        <w:rPr>
          <w:sz w:val="21"/>
          <w:szCs w:val="21"/>
        </w:rPr>
      </w:pPr>
      <w:r>
        <w:rPr>
          <w:sz w:val="21"/>
          <w:szCs w:val="21"/>
        </w:rPr>
        <w:t>Guests staying in self-catering accommodation, termed ‘secondary lets’ in Scottish STL legislation, also spend more than the average visitor to</w:t>
      </w:r>
      <w:r w:rsidR="00207868">
        <w:rPr>
          <w:sz w:val="21"/>
          <w:szCs w:val="21"/>
        </w:rPr>
        <w:t xml:space="preserve"> </w:t>
      </w:r>
      <w:r w:rsidR="00132ED0">
        <w:rPr>
          <w:sz w:val="21"/>
          <w:szCs w:val="21"/>
        </w:rPr>
        <w:t>Moray</w:t>
      </w:r>
      <w:r>
        <w:rPr>
          <w:sz w:val="21"/>
          <w:szCs w:val="21"/>
        </w:rPr>
        <w:t xml:space="preserve">, with knock-on gains for related tourist and hospitality businesses. </w:t>
      </w:r>
      <w:r w:rsidRPr="00AF16CC">
        <w:rPr>
          <w:sz w:val="21"/>
          <w:szCs w:val="21"/>
        </w:rPr>
        <w:t xml:space="preserve">Alongside this huge economic boost, the researchers also highlight </w:t>
      </w:r>
      <w:r>
        <w:rPr>
          <w:sz w:val="21"/>
          <w:szCs w:val="21"/>
        </w:rPr>
        <w:t xml:space="preserve">that </w:t>
      </w:r>
      <w:r w:rsidRPr="00AF16CC">
        <w:rPr>
          <w:sz w:val="21"/>
          <w:szCs w:val="21"/>
        </w:rPr>
        <w:t>self-catering</w:t>
      </w:r>
      <w:r>
        <w:rPr>
          <w:sz w:val="21"/>
          <w:szCs w:val="21"/>
        </w:rPr>
        <w:t xml:space="preserve"> </w:t>
      </w:r>
      <w:r w:rsidRPr="00AF16CC">
        <w:rPr>
          <w:sz w:val="21"/>
          <w:szCs w:val="21"/>
        </w:rPr>
        <w:t>account</w:t>
      </w:r>
      <w:r>
        <w:rPr>
          <w:sz w:val="21"/>
          <w:szCs w:val="21"/>
        </w:rPr>
        <w:t>s</w:t>
      </w:r>
      <w:r w:rsidRPr="00AF16CC">
        <w:rPr>
          <w:sz w:val="21"/>
          <w:szCs w:val="21"/>
        </w:rPr>
        <w:t xml:space="preserve"> for less than 1% of the country’s total housing stock. </w:t>
      </w:r>
    </w:p>
    <w:p w14:paraId="7A4CAD1B" w14:textId="3D6487EE" w:rsidR="00F85672" w:rsidRDefault="00F85672" w:rsidP="00F85672">
      <w:pPr>
        <w:spacing w:line="240" w:lineRule="auto"/>
        <w:rPr>
          <w:sz w:val="21"/>
          <w:szCs w:val="21"/>
        </w:rPr>
      </w:pPr>
      <w:r>
        <w:rPr>
          <w:sz w:val="21"/>
          <w:szCs w:val="21"/>
        </w:rPr>
        <w:t xml:space="preserve">This </w:t>
      </w:r>
      <w:r w:rsidRPr="00AF16CC">
        <w:rPr>
          <w:sz w:val="21"/>
          <w:szCs w:val="21"/>
        </w:rPr>
        <w:t>challenges the narrative that ST</w:t>
      </w:r>
      <w:r>
        <w:rPr>
          <w:sz w:val="21"/>
          <w:szCs w:val="21"/>
        </w:rPr>
        <w:t>Ls are fuelling</w:t>
      </w:r>
      <w:r w:rsidRPr="00AF16CC">
        <w:rPr>
          <w:sz w:val="21"/>
          <w:szCs w:val="21"/>
        </w:rPr>
        <w:t xml:space="preserve"> Scotland’s housing crisis, with </w:t>
      </w:r>
      <w:r>
        <w:rPr>
          <w:sz w:val="21"/>
          <w:szCs w:val="21"/>
        </w:rPr>
        <w:t>self-catering</w:t>
      </w:r>
      <w:r w:rsidRPr="00AF16CC">
        <w:rPr>
          <w:sz w:val="21"/>
          <w:szCs w:val="21"/>
        </w:rPr>
        <w:t xml:space="preserve"> at only 0.8% of the country’s housing stock, too low a proportion to have a meaningful impact on local housing market</w:t>
      </w:r>
      <w:r>
        <w:rPr>
          <w:sz w:val="21"/>
          <w:szCs w:val="21"/>
        </w:rPr>
        <w:t>s. Moreover, according to the report, in every local authority area</w:t>
      </w:r>
      <w:r w:rsidR="00207868">
        <w:rPr>
          <w:sz w:val="21"/>
          <w:szCs w:val="21"/>
        </w:rPr>
        <w:t xml:space="preserve"> including </w:t>
      </w:r>
      <w:r w:rsidR="00132ED0">
        <w:rPr>
          <w:sz w:val="21"/>
          <w:szCs w:val="21"/>
        </w:rPr>
        <w:t>Moray</w:t>
      </w:r>
      <w:r>
        <w:rPr>
          <w:sz w:val="21"/>
          <w:szCs w:val="21"/>
        </w:rPr>
        <w:t xml:space="preserve">, economically inactive empty homes account for a larger proportion of total dwellings than from secondary lets. </w:t>
      </w:r>
    </w:p>
    <w:p w14:paraId="6A99CFE1" w14:textId="77777777" w:rsidR="00F85672" w:rsidRPr="00AF16CC" w:rsidRDefault="00F85672" w:rsidP="00F85672">
      <w:pPr>
        <w:pStyle w:val="NoSpacing"/>
      </w:pPr>
      <w:r w:rsidRPr="00AE0913">
        <w:rPr>
          <w:b/>
          <w:bCs/>
        </w:rPr>
        <w:t>The key headlines include</w:t>
      </w:r>
      <w:r w:rsidRPr="00AF16CC">
        <w:t>:</w:t>
      </w:r>
    </w:p>
    <w:p w14:paraId="1B2776B0" w14:textId="77777777" w:rsidR="00207868" w:rsidRDefault="00F85672" w:rsidP="00207868">
      <w:pPr>
        <w:pStyle w:val="ListParagraph"/>
        <w:numPr>
          <w:ilvl w:val="0"/>
          <w:numId w:val="1"/>
        </w:numPr>
        <w:spacing w:line="240" w:lineRule="auto"/>
        <w:rPr>
          <w:sz w:val="21"/>
          <w:szCs w:val="21"/>
        </w:rPr>
      </w:pPr>
      <w:r w:rsidRPr="00AF16CC">
        <w:rPr>
          <w:sz w:val="21"/>
          <w:szCs w:val="21"/>
        </w:rPr>
        <w:t>STLs are estimated to generate £8</w:t>
      </w:r>
      <w:r>
        <w:rPr>
          <w:sz w:val="21"/>
          <w:szCs w:val="21"/>
        </w:rPr>
        <w:t>64</w:t>
      </w:r>
      <w:r w:rsidRPr="00AF16CC">
        <w:rPr>
          <w:sz w:val="21"/>
          <w:szCs w:val="21"/>
        </w:rPr>
        <w:t>m GVA and support 29,</w:t>
      </w:r>
      <w:r>
        <w:rPr>
          <w:sz w:val="21"/>
          <w:szCs w:val="21"/>
        </w:rPr>
        <w:t>324</w:t>
      </w:r>
      <w:r w:rsidRPr="00AF16CC">
        <w:rPr>
          <w:sz w:val="21"/>
          <w:szCs w:val="21"/>
        </w:rPr>
        <w:t xml:space="preserve"> jobs across Scotland</w:t>
      </w:r>
      <w:r w:rsidR="00207868">
        <w:rPr>
          <w:sz w:val="21"/>
          <w:szCs w:val="21"/>
        </w:rPr>
        <w:t xml:space="preserve"> in 2023. </w:t>
      </w:r>
    </w:p>
    <w:p w14:paraId="3DBE0CEE" w14:textId="3ADF1963" w:rsidR="00207868" w:rsidRPr="00207868" w:rsidRDefault="00207868" w:rsidP="00207868">
      <w:pPr>
        <w:pStyle w:val="ListParagraph"/>
        <w:numPr>
          <w:ilvl w:val="0"/>
          <w:numId w:val="1"/>
        </w:numPr>
        <w:spacing w:line="240" w:lineRule="auto"/>
        <w:rPr>
          <w:sz w:val="21"/>
          <w:szCs w:val="21"/>
        </w:rPr>
      </w:pPr>
      <w:r>
        <w:rPr>
          <w:sz w:val="21"/>
          <w:szCs w:val="21"/>
        </w:rPr>
        <w:t xml:space="preserve">In </w:t>
      </w:r>
      <w:r w:rsidR="00132ED0">
        <w:rPr>
          <w:sz w:val="21"/>
          <w:szCs w:val="21"/>
        </w:rPr>
        <w:t>Moray</w:t>
      </w:r>
      <w:r>
        <w:rPr>
          <w:sz w:val="21"/>
          <w:szCs w:val="21"/>
        </w:rPr>
        <w:t xml:space="preserve">, the figures stand at </w:t>
      </w:r>
      <w:r w:rsidR="00132ED0">
        <w:rPr>
          <w:sz w:val="21"/>
          <w:szCs w:val="21"/>
        </w:rPr>
        <w:t>£9.3</w:t>
      </w:r>
      <w:r>
        <w:rPr>
          <w:sz w:val="21"/>
          <w:szCs w:val="21"/>
        </w:rPr>
        <w:t xml:space="preserve">m GVA and </w:t>
      </w:r>
      <w:r w:rsidR="00132ED0">
        <w:rPr>
          <w:sz w:val="21"/>
          <w:szCs w:val="21"/>
        </w:rPr>
        <w:t>314 jobs</w:t>
      </w:r>
      <w:r>
        <w:rPr>
          <w:sz w:val="21"/>
          <w:szCs w:val="21"/>
        </w:rPr>
        <w:t xml:space="preserve"> </w:t>
      </w:r>
    </w:p>
    <w:p w14:paraId="57C81D5E" w14:textId="6B5604EC" w:rsidR="00F85672" w:rsidRPr="007942B4" w:rsidRDefault="00F85672" w:rsidP="00F85672">
      <w:pPr>
        <w:pStyle w:val="ListParagraph"/>
        <w:numPr>
          <w:ilvl w:val="0"/>
          <w:numId w:val="1"/>
        </w:numPr>
        <w:spacing w:line="240" w:lineRule="auto"/>
        <w:rPr>
          <w:sz w:val="21"/>
          <w:szCs w:val="21"/>
        </w:rPr>
      </w:pPr>
      <w:r>
        <w:rPr>
          <w:sz w:val="21"/>
          <w:szCs w:val="21"/>
        </w:rPr>
        <w:t xml:space="preserve">The annual GVA associated with an average owner-occupier/private rented household in </w:t>
      </w:r>
      <w:r w:rsidR="00132ED0">
        <w:rPr>
          <w:sz w:val="21"/>
          <w:szCs w:val="21"/>
        </w:rPr>
        <w:t>Moray</w:t>
      </w:r>
      <w:r>
        <w:rPr>
          <w:sz w:val="21"/>
          <w:szCs w:val="21"/>
        </w:rPr>
        <w:t xml:space="preserve"> was </w:t>
      </w:r>
      <w:r w:rsidR="00207868">
        <w:rPr>
          <w:sz w:val="21"/>
          <w:szCs w:val="21"/>
        </w:rPr>
        <w:t>£</w:t>
      </w:r>
      <w:r w:rsidR="00516C7F">
        <w:rPr>
          <w:sz w:val="21"/>
          <w:szCs w:val="21"/>
        </w:rPr>
        <w:t>12,627</w:t>
      </w:r>
      <w:r>
        <w:rPr>
          <w:sz w:val="21"/>
          <w:szCs w:val="21"/>
        </w:rPr>
        <w:t>, compared to £</w:t>
      </w:r>
      <w:r w:rsidR="00516C7F">
        <w:rPr>
          <w:sz w:val="21"/>
          <w:szCs w:val="21"/>
        </w:rPr>
        <w:t>14,484</w:t>
      </w:r>
      <w:r w:rsidR="00132ED0">
        <w:rPr>
          <w:sz w:val="21"/>
          <w:szCs w:val="21"/>
        </w:rPr>
        <w:t xml:space="preserve"> </w:t>
      </w:r>
      <w:r>
        <w:rPr>
          <w:sz w:val="21"/>
          <w:szCs w:val="21"/>
        </w:rPr>
        <w:t>for a two-bedroom STL; and</w:t>
      </w:r>
    </w:p>
    <w:p w14:paraId="331B8D4B" w14:textId="77777777" w:rsidR="00F85672" w:rsidRDefault="00F85672" w:rsidP="00F85672">
      <w:pPr>
        <w:pStyle w:val="ListParagraph"/>
        <w:numPr>
          <w:ilvl w:val="0"/>
          <w:numId w:val="1"/>
        </w:numPr>
        <w:spacing w:line="240" w:lineRule="auto"/>
        <w:rPr>
          <w:sz w:val="21"/>
          <w:szCs w:val="21"/>
        </w:rPr>
      </w:pPr>
      <w:r w:rsidRPr="00AF16CC">
        <w:rPr>
          <w:sz w:val="21"/>
          <w:szCs w:val="21"/>
        </w:rPr>
        <w:t>STLs make</w:t>
      </w:r>
      <w:r>
        <w:rPr>
          <w:sz w:val="21"/>
          <w:szCs w:val="21"/>
        </w:rPr>
        <w:t xml:space="preserve"> up </w:t>
      </w:r>
      <w:r w:rsidRPr="00AF16CC">
        <w:rPr>
          <w:sz w:val="21"/>
          <w:szCs w:val="21"/>
        </w:rPr>
        <w:t xml:space="preserve">a tiny proportion of Scotland’s housing stock, with </w:t>
      </w:r>
      <w:r>
        <w:rPr>
          <w:sz w:val="21"/>
          <w:szCs w:val="21"/>
        </w:rPr>
        <w:t>self-catering</w:t>
      </w:r>
      <w:r w:rsidRPr="00AF16CC">
        <w:rPr>
          <w:sz w:val="21"/>
          <w:szCs w:val="21"/>
        </w:rPr>
        <w:t xml:space="preserve"> accounting for just 0.8%. This is considerably less than the 3.6% that </w:t>
      </w:r>
      <w:r>
        <w:rPr>
          <w:sz w:val="21"/>
          <w:szCs w:val="21"/>
        </w:rPr>
        <w:t xml:space="preserve">economically inactive </w:t>
      </w:r>
      <w:r w:rsidRPr="00AF16CC">
        <w:rPr>
          <w:sz w:val="21"/>
          <w:szCs w:val="21"/>
        </w:rPr>
        <w:t xml:space="preserve">empty properties account for. </w:t>
      </w:r>
    </w:p>
    <w:p w14:paraId="010340B8" w14:textId="61D28FED" w:rsidR="00207868" w:rsidRPr="00AF16CC" w:rsidRDefault="00207868" w:rsidP="00F85672">
      <w:pPr>
        <w:pStyle w:val="ListParagraph"/>
        <w:numPr>
          <w:ilvl w:val="0"/>
          <w:numId w:val="1"/>
        </w:numPr>
        <w:spacing w:line="240" w:lineRule="auto"/>
        <w:rPr>
          <w:sz w:val="21"/>
          <w:szCs w:val="21"/>
        </w:rPr>
      </w:pPr>
      <w:r>
        <w:rPr>
          <w:sz w:val="21"/>
          <w:szCs w:val="21"/>
        </w:rPr>
        <w:t xml:space="preserve">Secondary </w:t>
      </w:r>
      <w:proofErr w:type="gramStart"/>
      <w:r>
        <w:rPr>
          <w:sz w:val="21"/>
          <w:szCs w:val="21"/>
        </w:rPr>
        <w:t>lets</w:t>
      </w:r>
      <w:proofErr w:type="gramEnd"/>
      <w:r>
        <w:rPr>
          <w:sz w:val="21"/>
          <w:szCs w:val="21"/>
        </w:rPr>
        <w:t xml:space="preserve"> account for </w:t>
      </w:r>
      <w:r w:rsidR="00D33FB6">
        <w:rPr>
          <w:sz w:val="21"/>
          <w:szCs w:val="21"/>
        </w:rPr>
        <w:t>1.3</w:t>
      </w:r>
      <w:r>
        <w:rPr>
          <w:sz w:val="21"/>
          <w:szCs w:val="21"/>
        </w:rPr>
        <w:t xml:space="preserve">% of total dwellings in </w:t>
      </w:r>
      <w:r w:rsidR="00132ED0">
        <w:rPr>
          <w:sz w:val="21"/>
          <w:szCs w:val="21"/>
        </w:rPr>
        <w:t>Moray</w:t>
      </w:r>
      <w:r>
        <w:rPr>
          <w:sz w:val="21"/>
          <w:szCs w:val="21"/>
        </w:rPr>
        <w:t xml:space="preserve">, compared to </w:t>
      </w:r>
      <w:r w:rsidR="00D33FB6">
        <w:rPr>
          <w:sz w:val="21"/>
          <w:szCs w:val="21"/>
        </w:rPr>
        <w:t>3.8</w:t>
      </w:r>
      <w:r>
        <w:rPr>
          <w:sz w:val="21"/>
          <w:szCs w:val="21"/>
        </w:rPr>
        <w:t>% for empty homes</w:t>
      </w:r>
      <w:r w:rsidR="00D33FB6">
        <w:rPr>
          <w:sz w:val="21"/>
          <w:szCs w:val="21"/>
        </w:rPr>
        <w:t>.</w:t>
      </w:r>
    </w:p>
    <w:p w14:paraId="43085089" w14:textId="6CE35C31" w:rsidR="00F85672" w:rsidRPr="00A1254D" w:rsidRDefault="00F85672" w:rsidP="00F85672">
      <w:pPr>
        <w:spacing w:line="240" w:lineRule="auto"/>
        <w:rPr>
          <w:sz w:val="21"/>
          <w:szCs w:val="21"/>
        </w:rPr>
      </w:pPr>
      <w:r w:rsidRPr="00A1254D">
        <w:rPr>
          <w:sz w:val="21"/>
          <w:szCs w:val="21"/>
        </w:rPr>
        <w:t>This study comes as</w:t>
      </w:r>
      <w:r>
        <w:rPr>
          <w:sz w:val="21"/>
          <w:szCs w:val="21"/>
        </w:rPr>
        <w:t xml:space="preserve"> the</w:t>
      </w:r>
      <w:r w:rsidRPr="00A1254D">
        <w:rPr>
          <w:sz w:val="21"/>
          <w:szCs w:val="21"/>
        </w:rPr>
        <w:t xml:space="preserve"> Scottish Government </w:t>
      </w:r>
      <w:r>
        <w:rPr>
          <w:sz w:val="21"/>
          <w:szCs w:val="21"/>
        </w:rPr>
        <w:t>published</w:t>
      </w:r>
      <w:r w:rsidRPr="00A1254D">
        <w:rPr>
          <w:sz w:val="21"/>
          <w:szCs w:val="21"/>
        </w:rPr>
        <w:t xml:space="preserve"> an implementation update report </w:t>
      </w:r>
      <w:r>
        <w:rPr>
          <w:sz w:val="21"/>
          <w:szCs w:val="21"/>
        </w:rPr>
        <w:t xml:space="preserve">on STL licensing </w:t>
      </w:r>
      <w:r w:rsidRPr="00A1254D">
        <w:rPr>
          <w:sz w:val="21"/>
          <w:szCs w:val="21"/>
        </w:rPr>
        <w:t xml:space="preserve">which the industry </w:t>
      </w:r>
      <w:r>
        <w:rPr>
          <w:sz w:val="21"/>
          <w:szCs w:val="21"/>
        </w:rPr>
        <w:t xml:space="preserve">maintains </w:t>
      </w:r>
      <w:r w:rsidRPr="00A1254D">
        <w:rPr>
          <w:sz w:val="21"/>
          <w:szCs w:val="21"/>
        </w:rPr>
        <w:t>did not adequately address their longstanding concerns.</w:t>
      </w:r>
      <w:r>
        <w:rPr>
          <w:sz w:val="21"/>
          <w:szCs w:val="21"/>
        </w:rPr>
        <w:t xml:space="preserve"> </w:t>
      </w:r>
    </w:p>
    <w:p w14:paraId="31066CE4" w14:textId="6182BF35" w:rsidR="00F85672" w:rsidRPr="00AF16CC" w:rsidRDefault="00F85672" w:rsidP="00F85672">
      <w:pPr>
        <w:spacing w:line="240" w:lineRule="auto"/>
        <w:rPr>
          <w:sz w:val="21"/>
          <w:szCs w:val="21"/>
        </w:rPr>
      </w:pPr>
      <w:proofErr w:type="spellStart"/>
      <w:r w:rsidRPr="00AF16CC">
        <w:rPr>
          <w:sz w:val="21"/>
          <w:szCs w:val="21"/>
        </w:rPr>
        <w:t>BiGGAR’s</w:t>
      </w:r>
      <w:proofErr w:type="spellEnd"/>
      <w:r w:rsidRPr="00AF16CC">
        <w:rPr>
          <w:sz w:val="21"/>
          <w:szCs w:val="21"/>
        </w:rPr>
        <w:t xml:space="preserve"> new analysis</w:t>
      </w:r>
      <w:r>
        <w:rPr>
          <w:sz w:val="21"/>
          <w:szCs w:val="21"/>
        </w:rPr>
        <w:t xml:space="preserve"> is based on the best available evidence on STLs in Scotland. The</w:t>
      </w:r>
      <w:r w:rsidRPr="00AF16CC">
        <w:rPr>
          <w:sz w:val="21"/>
          <w:szCs w:val="21"/>
        </w:rPr>
        <w:t xml:space="preserve"> findings have been shared with Scottish Government Ministers and officials</w:t>
      </w:r>
      <w:r w:rsidR="00777D14">
        <w:rPr>
          <w:sz w:val="21"/>
          <w:szCs w:val="21"/>
        </w:rPr>
        <w:t xml:space="preserve">, as well as </w:t>
      </w:r>
      <w:r w:rsidR="00132ED0">
        <w:rPr>
          <w:sz w:val="21"/>
          <w:szCs w:val="21"/>
        </w:rPr>
        <w:t>Moray</w:t>
      </w:r>
      <w:r w:rsidR="00777D14">
        <w:rPr>
          <w:sz w:val="21"/>
          <w:szCs w:val="21"/>
        </w:rPr>
        <w:t xml:space="preserve"> Council. </w:t>
      </w:r>
    </w:p>
    <w:p w14:paraId="64B562BB" w14:textId="77777777" w:rsidR="002E4EEB" w:rsidRDefault="002E4EEB" w:rsidP="00F85672">
      <w:pPr>
        <w:pStyle w:val="NoSpacing"/>
        <w:rPr>
          <w:b/>
          <w:bCs/>
          <w:sz w:val="21"/>
          <w:szCs w:val="21"/>
        </w:rPr>
      </w:pPr>
    </w:p>
    <w:p w14:paraId="5E8C277D" w14:textId="197CD2F3" w:rsidR="00F85672" w:rsidRPr="00C76F86" w:rsidRDefault="00F85672" w:rsidP="00F85672">
      <w:pPr>
        <w:pStyle w:val="NoSpacing"/>
        <w:rPr>
          <w:b/>
          <w:bCs/>
          <w:sz w:val="21"/>
          <w:szCs w:val="21"/>
        </w:rPr>
      </w:pPr>
      <w:r w:rsidRPr="00C76F86">
        <w:rPr>
          <w:b/>
          <w:bCs/>
          <w:sz w:val="21"/>
          <w:szCs w:val="21"/>
        </w:rPr>
        <w:lastRenderedPageBreak/>
        <w:t xml:space="preserve">Graeme Blackett, Director of </w:t>
      </w:r>
      <w:proofErr w:type="spellStart"/>
      <w:r w:rsidRPr="00C76F86">
        <w:rPr>
          <w:b/>
          <w:bCs/>
          <w:sz w:val="21"/>
          <w:szCs w:val="21"/>
        </w:rPr>
        <w:t>BiGGAR</w:t>
      </w:r>
      <w:proofErr w:type="spellEnd"/>
      <w:r w:rsidRPr="00C76F86">
        <w:rPr>
          <w:b/>
          <w:bCs/>
          <w:sz w:val="21"/>
          <w:szCs w:val="21"/>
        </w:rPr>
        <w:t xml:space="preserve"> Economics, said:</w:t>
      </w:r>
    </w:p>
    <w:p w14:paraId="41D3DD3F" w14:textId="77777777" w:rsidR="00F85672" w:rsidRPr="00710053" w:rsidRDefault="00F85672" w:rsidP="00F85672">
      <w:pPr>
        <w:spacing w:line="240" w:lineRule="auto"/>
        <w:rPr>
          <w:i/>
          <w:iCs/>
          <w:sz w:val="21"/>
          <w:szCs w:val="21"/>
        </w:rPr>
      </w:pPr>
      <w:r w:rsidRPr="00710053">
        <w:rPr>
          <w:rFonts w:eastAsia="Times New Roman"/>
          <w:i/>
          <w:iCs/>
          <w:sz w:val="21"/>
          <w:szCs w:val="21"/>
        </w:rPr>
        <w:t xml:space="preserve">"This report shows that </w:t>
      </w:r>
      <w:r>
        <w:rPr>
          <w:rFonts w:eastAsia="Times New Roman"/>
          <w:i/>
          <w:iCs/>
          <w:sz w:val="21"/>
          <w:szCs w:val="21"/>
        </w:rPr>
        <w:t>s</w:t>
      </w:r>
      <w:r w:rsidRPr="00710053">
        <w:rPr>
          <w:rFonts w:eastAsia="Times New Roman"/>
          <w:i/>
          <w:iCs/>
          <w:sz w:val="21"/>
          <w:szCs w:val="21"/>
        </w:rPr>
        <w:t xml:space="preserve">econdary </w:t>
      </w:r>
      <w:proofErr w:type="spellStart"/>
      <w:proofErr w:type="gramStart"/>
      <w:r>
        <w:rPr>
          <w:rFonts w:eastAsia="Times New Roman"/>
          <w:i/>
          <w:iCs/>
          <w:sz w:val="21"/>
          <w:szCs w:val="21"/>
        </w:rPr>
        <w:t>l</w:t>
      </w:r>
      <w:r w:rsidRPr="00710053">
        <w:rPr>
          <w:rFonts w:eastAsia="Times New Roman"/>
          <w:i/>
          <w:iCs/>
          <w:sz w:val="21"/>
          <w:szCs w:val="21"/>
        </w:rPr>
        <w:t>ets</w:t>
      </w:r>
      <w:proofErr w:type="spellEnd"/>
      <w:proofErr w:type="gramEnd"/>
      <w:r w:rsidRPr="00710053">
        <w:rPr>
          <w:rFonts w:eastAsia="Times New Roman"/>
          <w:i/>
          <w:iCs/>
          <w:sz w:val="21"/>
          <w:szCs w:val="21"/>
        </w:rPr>
        <w:t xml:space="preserve"> make an important contribution to Scottish tourism</w:t>
      </w:r>
      <w:r>
        <w:rPr>
          <w:rFonts w:eastAsia="Times New Roman"/>
          <w:i/>
          <w:iCs/>
          <w:sz w:val="21"/>
          <w:szCs w:val="21"/>
        </w:rPr>
        <w:t xml:space="preserve"> and economy overall</w:t>
      </w:r>
      <w:r w:rsidRPr="00710053">
        <w:rPr>
          <w:rFonts w:eastAsia="Times New Roman"/>
          <w:i/>
          <w:iCs/>
          <w:sz w:val="21"/>
          <w:szCs w:val="21"/>
        </w:rPr>
        <w:t xml:space="preserve">, supporting almost 30,000 Scottish jobs. Our research also concluded that it was clear that </w:t>
      </w:r>
      <w:r>
        <w:rPr>
          <w:rFonts w:eastAsia="Times New Roman"/>
          <w:i/>
          <w:iCs/>
          <w:sz w:val="21"/>
          <w:szCs w:val="21"/>
        </w:rPr>
        <w:t>s</w:t>
      </w:r>
      <w:r w:rsidRPr="00710053">
        <w:rPr>
          <w:rFonts w:eastAsia="Times New Roman"/>
          <w:i/>
          <w:iCs/>
          <w:sz w:val="21"/>
          <w:szCs w:val="21"/>
        </w:rPr>
        <w:t xml:space="preserve">econdary </w:t>
      </w:r>
      <w:r>
        <w:rPr>
          <w:rFonts w:eastAsia="Times New Roman"/>
          <w:i/>
          <w:iCs/>
          <w:sz w:val="21"/>
          <w:szCs w:val="21"/>
        </w:rPr>
        <w:t>l</w:t>
      </w:r>
      <w:r w:rsidRPr="00710053">
        <w:rPr>
          <w:rFonts w:eastAsia="Times New Roman"/>
          <w:i/>
          <w:iCs/>
          <w:sz w:val="21"/>
          <w:szCs w:val="21"/>
        </w:rPr>
        <w:t xml:space="preserve">ets are not a driver of the wider Scottish housing market. If short-term let regulations leads to a reduction in the supply of </w:t>
      </w:r>
      <w:r>
        <w:rPr>
          <w:rFonts w:eastAsia="Times New Roman"/>
          <w:i/>
          <w:iCs/>
          <w:sz w:val="21"/>
          <w:szCs w:val="21"/>
        </w:rPr>
        <w:t>s</w:t>
      </w:r>
      <w:r w:rsidRPr="00710053">
        <w:rPr>
          <w:rFonts w:eastAsia="Times New Roman"/>
          <w:i/>
          <w:iCs/>
          <w:sz w:val="21"/>
          <w:szCs w:val="21"/>
        </w:rPr>
        <w:t xml:space="preserve">econdary </w:t>
      </w:r>
      <w:r>
        <w:rPr>
          <w:rFonts w:eastAsia="Times New Roman"/>
          <w:i/>
          <w:iCs/>
          <w:sz w:val="21"/>
          <w:szCs w:val="21"/>
        </w:rPr>
        <w:t>l</w:t>
      </w:r>
      <w:r w:rsidRPr="00710053">
        <w:rPr>
          <w:rFonts w:eastAsia="Times New Roman"/>
          <w:i/>
          <w:iCs/>
          <w:sz w:val="21"/>
          <w:szCs w:val="21"/>
        </w:rPr>
        <w:t>ets, that will have a negative impact on the tourism economy, without delivering any solutions to Scotland's wider housing challenges."   </w:t>
      </w:r>
    </w:p>
    <w:p w14:paraId="3DB396C0" w14:textId="77777777" w:rsidR="00F85672" w:rsidRPr="00C76F86" w:rsidRDefault="00F85672" w:rsidP="00F85672">
      <w:pPr>
        <w:pStyle w:val="NoSpacing"/>
        <w:rPr>
          <w:b/>
          <w:bCs/>
          <w:sz w:val="21"/>
          <w:szCs w:val="21"/>
        </w:rPr>
      </w:pPr>
      <w:r w:rsidRPr="00C76F86">
        <w:rPr>
          <w:b/>
          <w:bCs/>
          <w:sz w:val="21"/>
          <w:szCs w:val="21"/>
        </w:rPr>
        <w:t>Fiona Campbell, CEO of the Association of Scotland’s Self-Caterers, said:</w:t>
      </w:r>
    </w:p>
    <w:p w14:paraId="4CEFE409" w14:textId="22008DB9" w:rsidR="00777D14" w:rsidRDefault="00F85672" w:rsidP="00F85672">
      <w:pPr>
        <w:spacing w:line="240" w:lineRule="auto"/>
        <w:rPr>
          <w:i/>
          <w:iCs/>
          <w:sz w:val="21"/>
          <w:szCs w:val="21"/>
        </w:rPr>
      </w:pPr>
      <w:r w:rsidRPr="00AF16CC">
        <w:rPr>
          <w:i/>
          <w:iCs/>
          <w:sz w:val="21"/>
          <w:szCs w:val="21"/>
        </w:rPr>
        <w:t xml:space="preserve">“This is yet more compelling evidence that short-term lets </w:t>
      </w:r>
      <w:r>
        <w:rPr>
          <w:i/>
          <w:iCs/>
          <w:sz w:val="21"/>
          <w:szCs w:val="21"/>
        </w:rPr>
        <w:t>aren’t</w:t>
      </w:r>
      <w:r w:rsidRPr="00AF16CC">
        <w:rPr>
          <w:i/>
          <w:iCs/>
          <w:sz w:val="21"/>
          <w:szCs w:val="21"/>
        </w:rPr>
        <w:t xml:space="preserve"> the main </w:t>
      </w:r>
      <w:r>
        <w:rPr>
          <w:i/>
          <w:iCs/>
          <w:sz w:val="21"/>
          <w:szCs w:val="21"/>
        </w:rPr>
        <w:t xml:space="preserve">contributor </w:t>
      </w:r>
      <w:r w:rsidRPr="00AF16CC">
        <w:rPr>
          <w:i/>
          <w:iCs/>
          <w:sz w:val="21"/>
          <w:szCs w:val="21"/>
        </w:rPr>
        <w:t>of the housing crisis but are instead turbocharging local economies</w:t>
      </w:r>
      <w:r w:rsidR="00777D14">
        <w:rPr>
          <w:i/>
          <w:iCs/>
          <w:sz w:val="21"/>
          <w:szCs w:val="21"/>
        </w:rPr>
        <w:t xml:space="preserve">. </w:t>
      </w:r>
      <w:r w:rsidR="00A62AEF">
        <w:rPr>
          <w:i/>
          <w:iCs/>
          <w:sz w:val="21"/>
          <w:szCs w:val="21"/>
        </w:rPr>
        <w:t>This is evident</w:t>
      </w:r>
      <w:r w:rsidR="00777D14">
        <w:rPr>
          <w:i/>
          <w:iCs/>
          <w:sz w:val="21"/>
          <w:szCs w:val="21"/>
        </w:rPr>
        <w:t xml:space="preserve"> in </w:t>
      </w:r>
      <w:r w:rsidR="00132ED0">
        <w:rPr>
          <w:i/>
          <w:iCs/>
          <w:sz w:val="21"/>
          <w:szCs w:val="21"/>
        </w:rPr>
        <w:t>Moray</w:t>
      </w:r>
      <w:r w:rsidR="00777D14">
        <w:rPr>
          <w:i/>
          <w:iCs/>
          <w:sz w:val="21"/>
          <w:szCs w:val="21"/>
        </w:rPr>
        <w:t xml:space="preserve"> where STLs generate £</w:t>
      </w:r>
      <w:r w:rsidR="00132ED0">
        <w:rPr>
          <w:i/>
          <w:iCs/>
          <w:sz w:val="21"/>
          <w:szCs w:val="21"/>
        </w:rPr>
        <w:t>10</w:t>
      </w:r>
      <w:r w:rsidR="00753C0F">
        <w:rPr>
          <w:i/>
          <w:iCs/>
          <w:sz w:val="21"/>
          <w:szCs w:val="21"/>
        </w:rPr>
        <w:t xml:space="preserve">m </w:t>
      </w:r>
      <w:r w:rsidR="00777D14">
        <w:rPr>
          <w:i/>
          <w:iCs/>
          <w:sz w:val="21"/>
          <w:szCs w:val="21"/>
        </w:rPr>
        <w:t xml:space="preserve">per annum and support </w:t>
      </w:r>
      <w:r w:rsidR="00132ED0">
        <w:rPr>
          <w:i/>
          <w:iCs/>
          <w:sz w:val="21"/>
          <w:szCs w:val="21"/>
        </w:rPr>
        <w:t>hundreds of</w:t>
      </w:r>
      <w:r w:rsidR="00777D14">
        <w:rPr>
          <w:i/>
          <w:iCs/>
          <w:sz w:val="21"/>
          <w:szCs w:val="21"/>
        </w:rPr>
        <w:t xml:space="preserve"> local jobs. </w:t>
      </w:r>
    </w:p>
    <w:p w14:paraId="2D7396E5" w14:textId="03AF700D" w:rsidR="002B7E1D" w:rsidRDefault="002B7E1D" w:rsidP="00F85672">
      <w:pPr>
        <w:spacing w:line="240" w:lineRule="auto"/>
        <w:rPr>
          <w:i/>
          <w:iCs/>
          <w:sz w:val="21"/>
          <w:szCs w:val="21"/>
        </w:rPr>
      </w:pPr>
      <w:r>
        <w:rPr>
          <w:i/>
          <w:iCs/>
          <w:sz w:val="21"/>
          <w:szCs w:val="21"/>
        </w:rPr>
        <w:t xml:space="preserve">We’re proud of the contribution self-catering has made to securing </w:t>
      </w:r>
      <w:r w:rsidR="00AF2C94">
        <w:rPr>
          <w:i/>
          <w:iCs/>
          <w:sz w:val="21"/>
          <w:szCs w:val="21"/>
        </w:rPr>
        <w:t xml:space="preserve">record tourism growth </w:t>
      </w:r>
      <w:r w:rsidR="00805C39">
        <w:rPr>
          <w:i/>
          <w:iCs/>
          <w:sz w:val="21"/>
          <w:szCs w:val="21"/>
        </w:rPr>
        <w:t>to the</w:t>
      </w:r>
      <w:r w:rsidR="00AF2C94">
        <w:rPr>
          <w:i/>
          <w:iCs/>
          <w:sz w:val="21"/>
          <w:szCs w:val="21"/>
        </w:rPr>
        <w:t xml:space="preserve"> Moray Speyside</w:t>
      </w:r>
      <w:r w:rsidR="00805C39">
        <w:rPr>
          <w:i/>
          <w:iCs/>
          <w:sz w:val="21"/>
          <w:szCs w:val="21"/>
        </w:rPr>
        <w:t xml:space="preserve"> region </w:t>
      </w:r>
      <w:r w:rsidR="00A716A0">
        <w:rPr>
          <w:i/>
          <w:iCs/>
          <w:sz w:val="21"/>
          <w:szCs w:val="21"/>
        </w:rPr>
        <w:t xml:space="preserve">and </w:t>
      </w:r>
      <w:r w:rsidR="002E4EEB">
        <w:rPr>
          <w:i/>
          <w:iCs/>
          <w:sz w:val="21"/>
          <w:szCs w:val="21"/>
        </w:rPr>
        <w:t>are excited about the opportunities that lie ahead.</w:t>
      </w:r>
    </w:p>
    <w:p w14:paraId="17590A04" w14:textId="21C1F11D" w:rsidR="00F85672" w:rsidRPr="00777D14" w:rsidRDefault="00777D14" w:rsidP="00F85672">
      <w:pPr>
        <w:spacing w:line="240" w:lineRule="auto"/>
        <w:rPr>
          <w:i/>
          <w:iCs/>
          <w:sz w:val="21"/>
          <w:szCs w:val="21"/>
        </w:rPr>
      </w:pPr>
      <w:r>
        <w:rPr>
          <w:i/>
          <w:iCs/>
          <w:sz w:val="21"/>
          <w:szCs w:val="21"/>
        </w:rPr>
        <w:t xml:space="preserve">However, this windfall is at risk from heavy-handed regulation. </w:t>
      </w:r>
      <w:r w:rsidR="00132ED0">
        <w:rPr>
          <w:i/>
          <w:iCs/>
          <w:sz w:val="21"/>
          <w:szCs w:val="21"/>
        </w:rPr>
        <w:t xml:space="preserve">Moray </w:t>
      </w:r>
      <w:r w:rsidR="00207868">
        <w:rPr>
          <w:i/>
          <w:iCs/>
          <w:sz w:val="21"/>
          <w:szCs w:val="21"/>
        </w:rPr>
        <w:t xml:space="preserve">Council </w:t>
      </w:r>
      <w:r w:rsidR="00F85672">
        <w:rPr>
          <w:i/>
          <w:iCs/>
          <w:sz w:val="21"/>
          <w:szCs w:val="21"/>
        </w:rPr>
        <w:t xml:space="preserve">should take heed of the report’s findings when considering their approach to planning policies and control areas to ensure the relatively small number of valuable short-term lets are protected. </w:t>
      </w:r>
    </w:p>
    <w:p w14:paraId="4DE1EFAD" w14:textId="77777777" w:rsidR="00F85672" w:rsidRDefault="00F85672" w:rsidP="00F85672">
      <w:pPr>
        <w:spacing w:line="240" w:lineRule="auto"/>
        <w:rPr>
          <w:i/>
          <w:iCs/>
          <w:sz w:val="21"/>
          <w:szCs w:val="21"/>
        </w:rPr>
      </w:pPr>
      <w:r>
        <w:rPr>
          <w:i/>
          <w:iCs/>
          <w:sz w:val="21"/>
          <w:szCs w:val="21"/>
        </w:rPr>
        <w:t>For policymakers, the message couldn’t be clearer</w:t>
      </w:r>
      <w:r w:rsidRPr="00AF16CC">
        <w:rPr>
          <w:i/>
          <w:iCs/>
          <w:sz w:val="21"/>
          <w:szCs w:val="21"/>
        </w:rPr>
        <w:t>: you can’t solve a housing crisis by producing a crisis in Scottish tourism by decimating local businesses</w:t>
      </w:r>
      <w:r>
        <w:rPr>
          <w:i/>
          <w:iCs/>
          <w:sz w:val="21"/>
          <w:szCs w:val="21"/>
        </w:rPr>
        <w:t xml:space="preserve"> that underpin local economies. Attention must shift to</w:t>
      </w:r>
      <w:r w:rsidRPr="00AF16CC">
        <w:rPr>
          <w:i/>
          <w:iCs/>
          <w:sz w:val="21"/>
          <w:szCs w:val="21"/>
        </w:rPr>
        <w:t xml:space="preserve"> the real causes of the housing crisis</w:t>
      </w:r>
      <w:r>
        <w:rPr>
          <w:i/>
          <w:iCs/>
          <w:sz w:val="21"/>
          <w:szCs w:val="21"/>
        </w:rPr>
        <w:t>.”</w:t>
      </w:r>
    </w:p>
    <w:p w14:paraId="6FB4B0D6" w14:textId="77777777" w:rsidR="00F85672" w:rsidRPr="00AF16CC" w:rsidRDefault="00F85672" w:rsidP="00F85672">
      <w:pPr>
        <w:spacing w:line="240" w:lineRule="auto"/>
        <w:rPr>
          <w:b/>
          <w:bCs/>
          <w:u w:val="single"/>
        </w:rPr>
      </w:pPr>
      <w:r w:rsidRPr="00AF16CC">
        <w:rPr>
          <w:b/>
          <w:bCs/>
          <w:u w:val="single"/>
        </w:rPr>
        <w:t xml:space="preserve">Notes to Editors: </w:t>
      </w:r>
    </w:p>
    <w:p w14:paraId="01F0FEA7" w14:textId="77777777" w:rsidR="00F85672" w:rsidRDefault="00F85672" w:rsidP="00F85672">
      <w:pPr>
        <w:pStyle w:val="ListParagraph"/>
        <w:numPr>
          <w:ilvl w:val="0"/>
          <w:numId w:val="2"/>
        </w:numPr>
        <w:spacing w:line="240" w:lineRule="auto"/>
        <w:rPr>
          <w:sz w:val="21"/>
          <w:szCs w:val="21"/>
        </w:rPr>
      </w:pPr>
      <w:r>
        <w:rPr>
          <w:sz w:val="21"/>
          <w:szCs w:val="21"/>
        </w:rPr>
        <w:t xml:space="preserve">The report can be accessed here: </w:t>
      </w:r>
      <w:hyperlink r:id="rId8" w:history="1">
        <w:r w:rsidRPr="00E94796">
          <w:rPr>
            <w:rStyle w:val="Hyperlink"/>
            <w:sz w:val="21"/>
            <w:szCs w:val="21"/>
          </w:rPr>
          <w:t>https://assc.flywheelsites.com/wp-content/uploads/2024/12/Economic-Impact-of-Short-term-Lets-in-Scotland-Report-by-BiGGAR-Economics-11Dec24.pdf</w:t>
        </w:r>
      </w:hyperlink>
      <w:r>
        <w:rPr>
          <w:sz w:val="21"/>
          <w:szCs w:val="21"/>
        </w:rPr>
        <w:t xml:space="preserve"> </w:t>
      </w:r>
    </w:p>
    <w:p w14:paraId="1565F85B" w14:textId="77777777" w:rsidR="00F85672" w:rsidRDefault="00F85672" w:rsidP="00F85672">
      <w:pPr>
        <w:pStyle w:val="ListParagraph"/>
        <w:numPr>
          <w:ilvl w:val="0"/>
          <w:numId w:val="2"/>
        </w:numPr>
        <w:spacing w:line="240" w:lineRule="auto"/>
        <w:rPr>
          <w:sz w:val="21"/>
          <w:szCs w:val="21"/>
        </w:rPr>
      </w:pPr>
      <w:r>
        <w:rPr>
          <w:sz w:val="21"/>
          <w:szCs w:val="21"/>
        </w:rPr>
        <w:t xml:space="preserve">The Association of Scotland’s Self-Caterers commissioned </w:t>
      </w:r>
      <w:proofErr w:type="spellStart"/>
      <w:r>
        <w:rPr>
          <w:sz w:val="21"/>
          <w:szCs w:val="21"/>
        </w:rPr>
        <w:t>BiGGAR</w:t>
      </w:r>
      <w:proofErr w:type="spellEnd"/>
      <w:r>
        <w:rPr>
          <w:sz w:val="21"/>
          <w:szCs w:val="21"/>
        </w:rPr>
        <w:t xml:space="preserve"> Economics to assess the economic impact generated by STLs across Scotland. This is an independent analysis and builds on their previous work on the </w:t>
      </w:r>
      <w:hyperlink r:id="rId9" w:history="1">
        <w:r w:rsidRPr="00666497">
          <w:rPr>
            <w:rStyle w:val="Hyperlink"/>
            <w:sz w:val="21"/>
            <w:szCs w:val="21"/>
          </w:rPr>
          <w:t>impact of the sector on Edinburgh’s economy</w:t>
        </w:r>
      </w:hyperlink>
      <w:r>
        <w:rPr>
          <w:sz w:val="21"/>
          <w:szCs w:val="21"/>
        </w:rPr>
        <w:t xml:space="preserve">. </w:t>
      </w:r>
    </w:p>
    <w:p w14:paraId="03F56A92" w14:textId="77777777" w:rsidR="00F85672" w:rsidRPr="00AF16CC" w:rsidRDefault="00F85672" w:rsidP="00F85672">
      <w:pPr>
        <w:pStyle w:val="ListParagraph"/>
        <w:numPr>
          <w:ilvl w:val="0"/>
          <w:numId w:val="2"/>
        </w:numPr>
        <w:spacing w:line="240" w:lineRule="auto"/>
        <w:rPr>
          <w:sz w:val="21"/>
          <w:szCs w:val="21"/>
        </w:rPr>
      </w:pPr>
      <w:proofErr w:type="spellStart"/>
      <w:r>
        <w:rPr>
          <w:sz w:val="21"/>
          <w:szCs w:val="21"/>
        </w:rPr>
        <w:t>BiGGAR</w:t>
      </w:r>
      <w:proofErr w:type="spellEnd"/>
      <w:r>
        <w:rPr>
          <w:sz w:val="21"/>
          <w:szCs w:val="21"/>
        </w:rPr>
        <w:t xml:space="preserve"> Economics have provided expert advice and analysis to a range of private, public and third sector organisations since 2002, including the Scottish Government.</w:t>
      </w:r>
    </w:p>
    <w:p w14:paraId="79060D4C" w14:textId="77777777" w:rsidR="00F85672" w:rsidRDefault="00F85672" w:rsidP="00F85672">
      <w:pPr>
        <w:pStyle w:val="Default"/>
        <w:rPr>
          <w:sz w:val="21"/>
          <w:szCs w:val="21"/>
        </w:rPr>
      </w:pPr>
      <w:r>
        <w:rPr>
          <w:b/>
          <w:bCs/>
          <w:sz w:val="21"/>
          <w:szCs w:val="21"/>
        </w:rPr>
        <w:t xml:space="preserve">About </w:t>
      </w:r>
      <w:proofErr w:type="spellStart"/>
      <w:r>
        <w:rPr>
          <w:b/>
          <w:bCs/>
          <w:sz w:val="21"/>
          <w:szCs w:val="21"/>
        </w:rPr>
        <w:t>BiGGAR</w:t>
      </w:r>
      <w:proofErr w:type="spellEnd"/>
      <w:r>
        <w:rPr>
          <w:b/>
          <w:bCs/>
          <w:sz w:val="21"/>
          <w:szCs w:val="21"/>
        </w:rPr>
        <w:t xml:space="preserve"> Economics </w:t>
      </w:r>
    </w:p>
    <w:p w14:paraId="78390787" w14:textId="77777777" w:rsidR="00F85672" w:rsidRDefault="00F85672" w:rsidP="00F85672">
      <w:pPr>
        <w:pStyle w:val="Default"/>
        <w:rPr>
          <w:sz w:val="21"/>
          <w:szCs w:val="21"/>
        </w:rPr>
      </w:pPr>
      <w:hyperlink r:id="rId10" w:history="1">
        <w:proofErr w:type="spellStart"/>
        <w:r w:rsidRPr="00AF16CC">
          <w:rPr>
            <w:rStyle w:val="Hyperlink"/>
            <w:sz w:val="21"/>
            <w:szCs w:val="21"/>
          </w:rPr>
          <w:t>BiGGAR</w:t>
        </w:r>
        <w:proofErr w:type="spellEnd"/>
        <w:r w:rsidRPr="00AF16CC">
          <w:rPr>
            <w:rStyle w:val="Hyperlink"/>
            <w:sz w:val="21"/>
            <w:szCs w:val="21"/>
          </w:rPr>
          <w:t xml:space="preserve"> Economics</w:t>
        </w:r>
      </w:hyperlink>
      <w:r>
        <w:rPr>
          <w:color w:val="467885"/>
          <w:sz w:val="21"/>
          <w:szCs w:val="21"/>
        </w:rPr>
        <w:t xml:space="preserve"> </w:t>
      </w:r>
      <w:r>
        <w:rPr>
          <w:sz w:val="21"/>
          <w:szCs w:val="21"/>
        </w:rPr>
        <w:t xml:space="preserve">is a leading economics consultancy providing economic analysis and advice for central and local government, economic development and other government agencies, universities, colleges, social economy organisations and private sector firms across Europe. The aim of </w:t>
      </w:r>
      <w:proofErr w:type="spellStart"/>
      <w:r>
        <w:rPr>
          <w:sz w:val="21"/>
          <w:szCs w:val="21"/>
        </w:rPr>
        <w:t>BiGGAR</w:t>
      </w:r>
      <w:proofErr w:type="spellEnd"/>
      <w:r>
        <w:rPr>
          <w:sz w:val="21"/>
          <w:szCs w:val="21"/>
        </w:rPr>
        <w:t xml:space="preserve"> Economics is to deliver meaningful impact. This includes ensuring that the best quality economic evidence possible is available to decision-makers. </w:t>
      </w:r>
    </w:p>
    <w:p w14:paraId="3EE2CE0A" w14:textId="77777777" w:rsidR="00F85672" w:rsidRDefault="00F85672" w:rsidP="00F85672">
      <w:pPr>
        <w:pStyle w:val="Default"/>
        <w:rPr>
          <w:sz w:val="21"/>
          <w:szCs w:val="21"/>
        </w:rPr>
      </w:pPr>
    </w:p>
    <w:p w14:paraId="1E072330" w14:textId="77777777" w:rsidR="00F85672" w:rsidRDefault="00F85672" w:rsidP="00F85672">
      <w:pPr>
        <w:pStyle w:val="Default"/>
        <w:rPr>
          <w:sz w:val="21"/>
          <w:szCs w:val="21"/>
        </w:rPr>
      </w:pPr>
      <w:r>
        <w:rPr>
          <w:b/>
          <w:bCs/>
          <w:sz w:val="21"/>
          <w:szCs w:val="21"/>
        </w:rPr>
        <w:t xml:space="preserve">About the ASSC </w:t>
      </w:r>
    </w:p>
    <w:p w14:paraId="12DD9BD7" w14:textId="797CAC4C" w:rsidR="00F85672" w:rsidRDefault="00F85672" w:rsidP="00F85672">
      <w:pPr>
        <w:spacing w:line="240" w:lineRule="auto"/>
        <w:rPr>
          <w:sz w:val="21"/>
          <w:szCs w:val="21"/>
        </w:rPr>
      </w:pPr>
      <w:r>
        <w:rPr>
          <w:sz w:val="21"/>
          <w:szCs w:val="21"/>
        </w:rPr>
        <w:t xml:space="preserve">Founded in 1978, the </w:t>
      </w:r>
      <w:hyperlink r:id="rId11" w:history="1">
        <w:r w:rsidRPr="00AF16CC">
          <w:rPr>
            <w:rStyle w:val="Hyperlink"/>
            <w:sz w:val="21"/>
            <w:szCs w:val="21"/>
          </w:rPr>
          <w:t>Association of Scotland’s Self-Caterers</w:t>
        </w:r>
      </w:hyperlink>
      <w:r>
        <w:rPr>
          <w:color w:val="467885"/>
          <w:sz w:val="21"/>
          <w:szCs w:val="21"/>
        </w:rPr>
        <w:t xml:space="preserve"> </w:t>
      </w:r>
      <w:r>
        <w:rPr>
          <w:sz w:val="21"/>
          <w:szCs w:val="21"/>
        </w:rPr>
        <w:t>represents over 1,700 members, operating self-catering properties throughout Scotland, from city centre apartments to rural cottages, to lodges and chalets, to castles. Our vision is that the ASSC takes the leading role in advancing a vibrant and prosperous self-catering sector recognised as pivotal to the future of Scotland’s tourism economy. Our purpose is to empower our diverse and professional membership, enabling them to deliver exceptional experiences to guests. Our focus is on supporting businesses and communities in the promotion of Scottish self-catering as a sustainable, inclusive and responsible form of accommodation.</w:t>
      </w:r>
    </w:p>
    <w:p w14:paraId="5AB051CF" w14:textId="6C414CA2" w:rsidR="00F85672" w:rsidRPr="00A55088" w:rsidRDefault="00F85672" w:rsidP="00F85672">
      <w:pPr>
        <w:spacing w:line="240" w:lineRule="auto"/>
        <w:rPr>
          <w:rFonts w:cstheme="minorHAnsi"/>
          <w:b/>
          <w:bCs/>
          <w:kern w:val="0"/>
          <w:sz w:val="21"/>
          <w:szCs w:val="21"/>
          <w:u w:val="single"/>
          <w14:ligatures w14:val="none"/>
        </w:rPr>
      </w:pPr>
      <w:r w:rsidRPr="00F6374F">
        <w:rPr>
          <w:rFonts w:cstheme="minorHAnsi"/>
          <w:b/>
          <w:bCs/>
          <w:kern w:val="0"/>
          <w:sz w:val="21"/>
          <w:szCs w:val="21"/>
          <w:u w:val="single"/>
          <w14:ligatures w14:val="none"/>
        </w:rPr>
        <w:t xml:space="preserve">For additional information, please contact: </w:t>
      </w:r>
    </w:p>
    <w:p w14:paraId="393F4FB6" w14:textId="42445E99" w:rsidR="00F85672" w:rsidRDefault="002E4EEB" w:rsidP="00F85672">
      <w:pPr>
        <w:pStyle w:val="NoSpacing"/>
        <w:rPr>
          <w:rFonts w:cstheme="minorHAnsi"/>
          <w:b/>
          <w:bCs/>
          <w:kern w:val="0"/>
          <w:sz w:val="21"/>
          <w:szCs w:val="21"/>
          <w14:ligatures w14:val="none"/>
        </w:rPr>
      </w:pPr>
      <w:r w:rsidRPr="00911EDE">
        <w:rPr>
          <w:noProof/>
          <w:lang w:eastAsia="en-GB"/>
        </w:rPr>
        <w:drawing>
          <wp:anchor distT="0" distB="0" distL="114300" distR="114300" simplePos="0" relativeHeight="251659264" behindDoc="0" locked="0" layoutInCell="1" allowOverlap="1" wp14:anchorId="6D2B80AD" wp14:editId="21D23D0D">
            <wp:simplePos x="0" y="0"/>
            <wp:positionH relativeFrom="margin">
              <wp:posOffset>9525</wp:posOffset>
            </wp:positionH>
            <wp:positionV relativeFrom="margin">
              <wp:posOffset>8036560</wp:posOffset>
            </wp:positionV>
            <wp:extent cx="1047750" cy="962025"/>
            <wp:effectExtent l="0" t="0" r="0" b="9525"/>
            <wp:wrapSquare wrapText="bothSides"/>
            <wp:docPr id="3" name="Picture 3" descr="C:\Users\leslie\Desktop\Halogen Red Squar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lie\Desktop\Halogen Red Square 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1C6F8" w14:textId="04BC2E2E" w:rsidR="00F85672" w:rsidRDefault="00F85672" w:rsidP="00F85672">
      <w:pPr>
        <w:pStyle w:val="NoSpacing"/>
        <w:rPr>
          <w:rFonts w:cstheme="minorHAnsi"/>
          <w:b/>
          <w:bCs/>
          <w:kern w:val="0"/>
          <w:sz w:val="21"/>
          <w:szCs w:val="21"/>
          <w14:ligatures w14:val="none"/>
        </w:rPr>
      </w:pPr>
    </w:p>
    <w:p w14:paraId="0C9AE75F" w14:textId="77777777" w:rsidR="00F85672" w:rsidRPr="00270E7A" w:rsidRDefault="00F85672" w:rsidP="00F85672">
      <w:pPr>
        <w:pStyle w:val="NoSpacing"/>
        <w:rPr>
          <w:rFonts w:cstheme="minorHAnsi"/>
          <w:kern w:val="0"/>
          <w:sz w:val="21"/>
          <w:szCs w:val="21"/>
          <w14:ligatures w14:val="none"/>
        </w:rPr>
      </w:pPr>
      <w:r w:rsidRPr="00F6374F">
        <w:rPr>
          <w:rFonts w:cstheme="minorHAnsi"/>
          <w:b/>
          <w:bCs/>
          <w:kern w:val="0"/>
          <w:sz w:val="21"/>
          <w:szCs w:val="21"/>
          <w14:ligatures w14:val="none"/>
        </w:rPr>
        <w:t>Leslie Clark, Head of Policy, Halogen Communications</w:t>
      </w:r>
    </w:p>
    <w:p w14:paraId="2DAAE1BC" w14:textId="77777777" w:rsidR="00F85672" w:rsidRDefault="00F85672" w:rsidP="00F85672">
      <w:pPr>
        <w:spacing w:line="240" w:lineRule="auto"/>
        <w:rPr>
          <w:rFonts w:cstheme="minorHAnsi"/>
          <w:kern w:val="0"/>
          <w:sz w:val="21"/>
          <w:szCs w:val="21"/>
          <w14:ligatures w14:val="none"/>
        </w:rPr>
      </w:pPr>
      <w:r w:rsidRPr="00F6374F">
        <w:rPr>
          <w:rFonts w:cstheme="minorHAnsi"/>
          <w:kern w:val="0"/>
          <w:sz w:val="21"/>
          <w:szCs w:val="21"/>
          <w14:ligatures w14:val="none"/>
        </w:rPr>
        <w:t xml:space="preserve">E: </w:t>
      </w:r>
      <w:hyperlink r:id="rId13" w:history="1">
        <w:r w:rsidRPr="00F6374F">
          <w:rPr>
            <w:rFonts w:cstheme="minorHAnsi"/>
            <w:color w:val="467886" w:themeColor="hyperlink"/>
            <w:kern w:val="0"/>
            <w:sz w:val="21"/>
            <w:szCs w:val="21"/>
            <w:u w:val="single"/>
            <w14:ligatures w14:val="none"/>
          </w:rPr>
          <w:t>leslie@halogencom.com</w:t>
        </w:r>
      </w:hyperlink>
      <w:r w:rsidRPr="00F6374F">
        <w:rPr>
          <w:rFonts w:cstheme="minorHAnsi"/>
          <w:kern w:val="0"/>
          <w:sz w:val="21"/>
          <w:szCs w:val="21"/>
          <w14:ligatures w14:val="none"/>
        </w:rPr>
        <w:t xml:space="preserve"> / T: 07518 420 885</w:t>
      </w:r>
      <w:r>
        <w:rPr>
          <w:rFonts w:cstheme="minorHAnsi"/>
          <w:kern w:val="0"/>
          <w:sz w:val="21"/>
          <w:szCs w:val="21"/>
          <w14:ligatures w14:val="none"/>
        </w:rPr>
        <w:t xml:space="preserve"> / 0131 202 0120.</w:t>
      </w:r>
    </w:p>
    <w:p w14:paraId="0FA2A1F2" w14:textId="77777777" w:rsidR="00F85672" w:rsidRDefault="00F85672" w:rsidP="00F85672">
      <w:pPr>
        <w:spacing w:line="240" w:lineRule="auto"/>
        <w:rPr>
          <w:rFonts w:cstheme="minorHAnsi"/>
          <w:kern w:val="0"/>
          <w:sz w:val="21"/>
          <w:szCs w:val="21"/>
          <w14:ligatures w14:val="none"/>
        </w:rPr>
      </w:pPr>
    </w:p>
    <w:p w14:paraId="4FA30EA1" w14:textId="77777777" w:rsidR="00F85672" w:rsidRDefault="00F85672"/>
    <w:p w14:paraId="50B244A9" w14:textId="77777777" w:rsidR="00F85672" w:rsidRDefault="00F85672"/>
    <w:p w14:paraId="1B997FA8" w14:textId="77777777" w:rsidR="00F85672" w:rsidRDefault="00F85672"/>
    <w:sectPr w:rsidR="00F85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95CD5"/>
    <w:multiLevelType w:val="hybridMultilevel"/>
    <w:tmpl w:val="3AD66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83F5830"/>
    <w:multiLevelType w:val="hybridMultilevel"/>
    <w:tmpl w:val="D6343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5446363">
    <w:abstractNumId w:val="1"/>
  </w:num>
  <w:num w:numId="2" w16cid:durableId="151722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98"/>
    <w:rsid w:val="0011369A"/>
    <w:rsid w:val="00132ED0"/>
    <w:rsid w:val="00207868"/>
    <w:rsid w:val="00230DC6"/>
    <w:rsid w:val="002B7E1D"/>
    <w:rsid w:val="002E4EEB"/>
    <w:rsid w:val="003A7FA9"/>
    <w:rsid w:val="0045294B"/>
    <w:rsid w:val="00491D1C"/>
    <w:rsid w:val="0051605F"/>
    <w:rsid w:val="00516C7F"/>
    <w:rsid w:val="005A3CEE"/>
    <w:rsid w:val="00753C0F"/>
    <w:rsid w:val="00777D14"/>
    <w:rsid w:val="00805C39"/>
    <w:rsid w:val="00814910"/>
    <w:rsid w:val="008658D6"/>
    <w:rsid w:val="00A22402"/>
    <w:rsid w:val="00A56305"/>
    <w:rsid w:val="00A62AEF"/>
    <w:rsid w:val="00A716A0"/>
    <w:rsid w:val="00AF2C94"/>
    <w:rsid w:val="00AF4098"/>
    <w:rsid w:val="00B426D4"/>
    <w:rsid w:val="00B47E2B"/>
    <w:rsid w:val="00C13188"/>
    <w:rsid w:val="00D33FB6"/>
    <w:rsid w:val="00EE2D54"/>
    <w:rsid w:val="00F85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343B"/>
  <w15:chartTrackingRefBased/>
  <w15:docId w15:val="{B9BFCF22-696E-435E-B158-51463543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0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0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0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0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0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0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0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0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098"/>
    <w:rPr>
      <w:rFonts w:eastAsiaTheme="majorEastAsia" w:cstheme="majorBidi"/>
      <w:color w:val="272727" w:themeColor="text1" w:themeTint="D8"/>
    </w:rPr>
  </w:style>
  <w:style w:type="paragraph" w:styleId="Title">
    <w:name w:val="Title"/>
    <w:basedOn w:val="Normal"/>
    <w:next w:val="Normal"/>
    <w:link w:val="TitleChar"/>
    <w:uiPriority w:val="10"/>
    <w:qFormat/>
    <w:rsid w:val="00AF4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0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0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0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098"/>
    <w:pPr>
      <w:spacing w:before="160"/>
      <w:jc w:val="center"/>
    </w:pPr>
    <w:rPr>
      <w:i/>
      <w:iCs/>
      <w:color w:val="404040" w:themeColor="text1" w:themeTint="BF"/>
    </w:rPr>
  </w:style>
  <w:style w:type="character" w:customStyle="1" w:styleId="QuoteChar">
    <w:name w:val="Quote Char"/>
    <w:basedOn w:val="DefaultParagraphFont"/>
    <w:link w:val="Quote"/>
    <w:uiPriority w:val="29"/>
    <w:rsid w:val="00AF4098"/>
    <w:rPr>
      <w:i/>
      <w:iCs/>
      <w:color w:val="404040" w:themeColor="text1" w:themeTint="BF"/>
    </w:rPr>
  </w:style>
  <w:style w:type="paragraph" w:styleId="ListParagraph">
    <w:name w:val="List Paragraph"/>
    <w:basedOn w:val="Normal"/>
    <w:uiPriority w:val="34"/>
    <w:qFormat/>
    <w:rsid w:val="00AF4098"/>
    <w:pPr>
      <w:ind w:left="720"/>
      <w:contextualSpacing/>
    </w:pPr>
  </w:style>
  <w:style w:type="character" w:styleId="IntenseEmphasis">
    <w:name w:val="Intense Emphasis"/>
    <w:basedOn w:val="DefaultParagraphFont"/>
    <w:uiPriority w:val="21"/>
    <w:qFormat/>
    <w:rsid w:val="00AF4098"/>
    <w:rPr>
      <w:i/>
      <w:iCs/>
      <w:color w:val="0F4761" w:themeColor="accent1" w:themeShade="BF"/>
    </w:rPr>
  </w:style>
  <w:style w:type="paragraph" w:styleId="IntenseQuote">
    <w:name w:val="Intense Quote"/>
    <w:basedOn w:val="Normal"/>
    <w:next w:val="Normal"/>
    <w:link w:val="IntenseQuoteChar"/>
    <w:uiPriority w:val="30"/>
    <w:qFormat/>
    <w:rsid w:val="00AF4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098"/>
    <w:rPr>
      <w:i/>
      <w:iCs/>
      <w:color w:val="0F4761" w:themeColor="accent1" w:themeShade="BF"/>
    </w:rPr>
  </w:style>
  <w:style w:type="character" w:styleId="IntenseReference">
    <w:name w:val="Intense Reference"/>
    <w:basedOn w:val="DefaultParagraphFont"/>
    <w:uiPriority w:val="32"/>
    <w:qFormat/>
    <w:rsid w:val="00AF4098"/>
    <w:rPr>
      <w:b/>
      <w:bCs/>
      <w:smallCaps/>
      <w:color w:val="0F4761" w:themeColor="accent1" w:themeShade="BF"/>
      <w:spacing w:val="5"/>
    </w:rPr>
  </w:style>
  <w:style w:type="paragraph" w:customStyle="1" w:styleId="Default">
    <w:name w:val="Default"/>
    <w:rsid w:val="00F85672"/>
    <w:pPr>
      <w:autoSpaceDE w:val="0"/>
      <w:autoSpaceDN w:val="0"/>
      <w:adjustRightInd w:val="0"/>
      <w:spacing w:after="0" w:line="240" w:lineRule="auto"/>
    </w:pPr>
    <w:rPr>
      <w:rFonts w:ascii="Aptos" w:hAnsi="Aptos" w:cs="Aptos"/>
      <w:color w:val="000000"/>
      <w:kern w:val="0"/>
      <w:sz w:val="24"/>
      <w:szCs w:val="24"/>
    </w:rPr>
  </w:style>
  <w:style w:type="character" w:styleId="Hyperlink">
    <w:name w:val="Hyperlink"/>
    <w:basedOn w:val="DefaultParagraphFont"/>
    <w:uiPriority w:val="99"/>
    <w:unhideWhenUsed/>
    <w:rsid w:val="00F85672"/>
    <w:rPr>
      <w:color w:val="467886" w:themeColor="hyperlink"/>
      <w:u w:val="single"/>
    </w:rPr>
  </w:style>
  <w:style w:type="paragraph" w:styleId="NoSpacing">
    <w:name w:val="No Spacing"/>
    <w:uiPriority w:val="1"/>
    <w:qFormat/>
    <w:rsid w:val="00F85672"/>
    <w:pPr>
      <w:spacing w:after="0" w:line="240" w:lineRule="auto"/>
    </w:pPr>
  </w:style>
  <w:style w:type="character" w:styleId="UnresolvedMention">
    <w:name w:val="Unresolved Mention"/>
    <w:basedOn w:val="DefaultParagraphFont"/>
    <w:uiPriority w:val="99"/>
    <w:semiHidden/>
    <w:unhideWhenUsed/>
    <w:rsid w:val="00A22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c.flywheelsites.com/wp-content/uploads/2024/12/Economic-Impact-of-Short-term-Lets-in-Scotland-Report-by-BiGGAR-Economics-11Dec24.pdf" TargetMode="External"/><Relationship Id="rId13" Type="http://schemas.openxmlformats.org/officeDocument/2006/relationships/hyperlink" Target="mailto:leslie@halogencom.com" TargetMode="External"/><Relationship Id="rId3" Type="http://schemas.openxmlformats.org/officeDocument/2006/relationships/settings" Target="settings.xml"/><Relationship Id="rId7" Type="http://schemas.openxmlformats.org/officeDocument/2006/relationships/hyperlink" Target="https://scottishtourismalliance.co.uk/industry-update-record-187m-tourism-boost-for-moray-speyside/"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assc.co.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iggareconomics.co.uk/" TargetMode="External"/><Relationship Id="rId4" Type="http://schemas.openxmlformats.org/officeDocument/2006/relationships/webSettings" Target="webSettings.xml"/><Relationship Id="rId9" Type="http://schemas.openxmlformats.org/officeDocument/2006/relationships/hyperlink" Target="https://biggareconomics.co.uk/economic-impacts-of-short-term-lets-in-edinburg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Leslie Clark</cp:lastModifiedBy>
  <cp:revision>17</cp:revision>
  <dcterms:created xsi:type="dcterms:W3CDTF">2024-12-16T15:16:00Z</dcterms:created>
  <dcterms:modified xsi:type="dcterms:W3CDTF">2024-12-16T15:27:00Z</dcterms:modified>
</cp:coreProperties>
</file>